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4C8F" w14:textId="77777777" w:rsidR="00E402ED" w:rsidRDefault="00E40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3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402ED" w14:paraId="7627AB19" w14:textId="77777777">
        <w:trPr>
          <w:trHeight w:val="4341"/>
        </w:trPr>
        <w:tc>
          <w:tcPr>
            <w:tcW w:w="3119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02ADD747" w14:textId="77777777" w:rsidR="00E402ED" w:rsidRDefault="00A31165">
            <w:pPr>
              <w:rPr>
                <w:b/>
              </w:rPr>
            </w:pPr>
            <w:r>
              <w:rPr>
                <w:b/>
              </w:rPr>
              <w:t>Objectives of the action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4710071F" wp14:editId="4CEDFABD">
                      <wp:simplePos x="0" y="0"/>
                      <wp:positionH relativeFrom="column">
                        <wp:posOffset>-83819</wp:posOffset>
                      </wp:positionH>
                      <wp:positionV relativeFrom="paragraph">
                        <wp:posOffset>-1983739</wp:posOffset>
                      </wp:positionV>
                      <wp:extent cx="5908040" cy="1404620"/>
                      <wp:effectExtent l="0" t="0" r="0" b="6350"/>
                      <wp:wrapNone/>
                      <wp:docPr id="1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0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66F7D" w14:textId="77777777" w:rsidR="00F16EEA" w:rsidRPr="00E72245" w:rsidRDefault="00A31165" w:rsidP="00F16EEA">
                                  <w:pPr>
                                    <w:rPr>
                                      <w:b/>
                                      <w:bCs/>
                                      <w:szCs w:val="23"/>
                                    </w:rPr>
                                  </w:pPr>
                                  <w:r w:rsidRPr="00E72245">
                                    <w:rPr>
                                      <w:b/>
                                      <w:bCs/>
                                      <w:szCs w:val="23"/>
                                    </w:rPr>
                                    <w:t xml:space="preserve">IRIGA </w:t>
                                  </w:r>
                                  <w:r w:rsidRPr="00E72245">
                                    <w:rPr>
                                      <w:szCs w:val="23"/>
                                    </w:rPr>
                                    <w:t>(</w:t>
                                  </w:r>
                                  <w:r w:rsidRPr="00E72245">
                                    <w:rPr>
                                      <w:b/>
                                      <w:bCs/>
                                      <w:szCs w:val="23"/>
                                    </w:rPr>
                                    <w:t>I</w:t>
                                  </w:r>
                                  <w:r w:rsidRPr="00E72245">
                                    <w:rPr>
                                      <w:szCs w:val="23"/>
                                    </w:rPr>
                                    <w:t xml:space="preserve">RIGA </w:t>
                                  </w:r>
                                  <w:r w:rsidRPr="00E72245">
                                    <w:rPr>
                                      <w:b/>
                                      <w:bCs/>
                                      <w:szCs w:val="23"/>
                                    </w:rPr>
                                    <w:t>R</w:t>
                                  </w:r>
                                  <w:r w:rsidRPr="00E72245">
                                    <w:rPr>
                                      <w:szCs w:val="23"/>
                                    </w:rPr>
                                    <w:t xml:space="preserve">esiliency </w:t>
                                  </w:r>
                                  <w:r w:rsidRPr="00E72245">
                                    <w:rPr>
                                      <w:b/>
                                      <w:bCs/>
                                      <w:szCs w:val="23"/>
                                    </w:rPr>
                                    <w:t>I</w:t>
                                  </w:r>
                                  <w:r w:rsidRPr="00E72245">
                                    <w:rPr>
                                      <w:szCs w:val="23"/>
                                    </w:rPr>
                                    <w:t xml:space="preserve">nformation </w:t>
                                  </w:r>
                                  <w:r w:rsidRPr="00E72245">
                                    <w:rPr>
                                      <w:b/>
                                      <w:bCs/>
                                      <w:szCs w:val="23"/>
                                    </w:rPr>
                                    <w:t>G</w:t>
                                  </w:r>
                                  <w:r w:rsidRPr="00E72245">
                                    <w:rPr>
                                      <w:szCs w:val="23"/>
                                    </w:rPr>
                                    <w:t xml:space="preserve">overnance &amp; </w:t>
                                  </w:r>
                                  <w:r w:rsidRPr="00E72245">
                                    <w:rPr>
                                      <w:b/>
                                      <w:bCs/>
                                      <w:szCs w:val="23"/>
                                    </w:rPr>
                                    <w:t>A</w:t>
                                  </w:r>
                                  <w:r w:rsidRPr="00E72245">
                                    <w:rPr>
                                      <w:szCs w:val="23"/>
                                    </w:rPr>
                                    <w:t xml:space="preserve">nalysis) </w:t>
                                  </w:r>
                                  <w:r w:rsidRPr="00E72245">
                                    <w:rPr>
                                      <w:b/>
                                      <w:bCs/>
                                      <w:szCs w:val="23"/>
                                    </w:rPr>
                                    <w:t xml:space="preserve">Project </w:t>
                                  </w:r>
                                </w:p>
                                <w:p w14:paraId="7E0FC04F" w14:textId="77777777" w:rsidR="00FC7613" w:rsidRPr="00F16EEA" w:rsidRDefault="00A31165" w:rsidP="00F16EEA">
                                  <w:r w:rsidRPr="00F16EEA">
                                    <w:t>CONCEPT NOTE</w:t>
                                  </w:r>
                                </w:p>
                                <w:p w14:paraId="3D5195DA" w14:textId="77777777" w:rsidR="00FC7613" w:rsidRDefault="00A31165">
                                  <w:r>
                                    <w:t>Summary of the 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-83819</wp:posOffset>
                      </wp:positionH>
                      <wp:positionV relativeFrom="paragraph">
                        <wp:posOffset>-1983739</wp:posOffset>
                      </wp:positionV>
                      <wp:extent cx="5908040" cy="14109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8040" cy="1410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237" w:type="dxa"/>
            <w:tcBorders>
              <w:top w:val="single" w:sz="24" w:space="0" w:color="000000"/>
            </w:tcBorders>
          </w:tcPr>
          <w:p w14:paraId="622883A6" w14:textId="77777777" w:rsidR="00E402ED" w:rsidRDefault="00A31165">
            <w:pPr>
              <w:rPr>
                <w:b/>
              </w:rPr>
            </w:pPr>
            <w:r>
              <w:rPr>
                <w:b/>
              </w:rPr>
              <w:t>Overall Objective</w:t>
            </w:r>
            <w:r>
              <w:t xml:space="preserve">: This project will transform the 36 Barangays* or Villages of </w:t>
            </w:r>
            <w:proofErr w:type="spellStart"/>
            <w:r>
              <w:t>Iriga</w:t>
            </w:r>
            <w:proofErr w:type="spellEnd"/>
            <w:r>
              <w:t xml:space="preserve"> City into inclusive, safe, resilient, and sustainable communities</w:t>
            </w:r>
          </w:p>
          <w:p w14:paraId="474F74BD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14:paraId="4E3E43B0" w14:textId="77777777" w:rsidR="00E402ED" w:rsidRDefault="00A31165">
            <w:pPr>
              <w:jc w:val="both"/>
            </w:pPr>
            <w:r>
              <w:rPr>
                <w:b/>
              </w:rPr>
              <w:t>Specific Objectives</w:t>
            </w:r>
            <w:r>
              <w:t>:</w:t>
            </w:r>
          </w:p>
          <w:p w14:paraId="45B78649" w14:textId="77777777" w:rsidR="00E402ED" w:rsidRDefault="00A311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2"/>
            </w:pPr>
            <w:r>
              <w:rPr>
                <w:color w:val="000000"/>
              </w:rPr>
              <w:t>To create a resilient information system for Disaster Response, Community-based Monitoring, and Eco-Tourism Mapping which will be shared to other LGUs and adopt the best practices of the partner LGU; and</w:t>
            </w:r>
          </w:p>
          <w:p w14:paraId="2CA78612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2" w:hanging="360"/>
              <w:rPr>
                <w:color w:val="000000"/>
              </w:rPr>
            </w:pPr>
          </w:p>
          <w:p w14:paraId="31CF3B6E" w14:textId="77777777" w:rsidR="00E402ED" w:rsidRDefault="00A311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2"/>
            </w:pPr>
            <w:r>
              <w:rPr>
                <w:color w:val="000000"/>
              </w:rPr>
              <w:t>To underscore the need for a holistic approach to e</w:t>
            </w:r>
            <w:r>
              <w:rPr>
                <w:color w:val="000000"/>
              </w:rPr>
              <w:t xml:space="preserve">nvironment protection and disaster resilience while addressing </w:t>
            </w:r>
            <w:proofErr w:type="spellStart"/>
            <w:r>
              <w:rPr>
                <w:color w:val="000000"/>
              </w:rPr>
              <w:t>Iriga</w:t>
            </w:r>
            <w:proofErr w:type="spellEnd"/>
            <w:r>
              <w:rPr>
                <w:color w:val="000000"/>
              </w:rPr>
              <w:t xml:space="preserve"> City’s local economic development and increase people’s level of participation in governance matters through “</w:t>
            </w:r>
            <w:r>
              <w:rPr>
                <w:b/>
                <w:color w:val="000000"/>
              </w:rPr>
              <w:t>rights-based approach”</w:t>
            </w:r>
          </w:p>
        </w:tc>
      </w:tr>
      <w:tr w:rsidR="00E402ED" w14:paraId="2D2322A1" w14:textId="77777777">
        <w:trPr>
          <w:trHeight w:val="1738"/>
        </w:trPr>
        <w:tc>
          <w:tcPr>
            <w:tcW w:w="3119" w:type="dxa"/>
            <w:shd w:val="clear" w:color="auto" w:fill="D9D9D9"/>
            <w:vAlign w:val="center"/>
          </w:tcPr>
          <w:p w14:paraId="6ADBCA80" w14:textId="77777777" w:rsidR="00E402ED" w:rsidRDefault="00A31165">
            <w:pPr>
              <w:rPr>
                <w:b/>
              </w:rPr>
            </w:pPr>
            <w:r>
              <w:rPr>
                <w:b/>
              </w:rPr>
              <w:t>Target group(s)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6237" w:type="dxa"/>
          </w:tcPr>
          <w:p w14:paraId="0CF48A69" w14:textId="77777777" w:rsidR="00E402ED" w:rsidRDefault="00A31165">
            <w:pPr>
              <w:jc w:val="both"/>
            </w:pPr>
            <w:r>
              <w:t>Target Group 1 (Social Responsibility):</w:t>
            </w:r>
          </w:p>
          <w:p w14:paraId="1C6EA601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60 Barangay Child Development Workers</w:t>
            </w:r>
          </w:p>
          <w:p w14:paraId="5BE32F41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Officials and Constituents of the 36 Barangays</w:t>
            </w:r>
          </w:p>
          <w:p w14:paraId="3598C7FA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Iriga</w:t>
            </w:r>
            <w:proofErr w:type="spellEnd"/>
            <w:r>
              <w:rPr>
                <w:color w:val="000000"/>
              </w:rPr>
              <w:t xml:space="preserve"> City Local Officials and the Technical Working Group</w:t>
            </w:r>
          </w:p>
          <w:p w14:paraId="413C82DC" w14:textId="77777777" w:rsidR="00E402ED" w:rsidRDefault="00A31165">
            <w:pPr>
              <w:jc w:val="both"/>
            </w:pPr>
            <w:r>
              <w:t xml:space="preserve">Target Group 2 (Economy): </w:t>
            </w:r>
          </w:p>
          <w:p w14:paraId="4974FEDF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100-150 participants for employability sk</w:t>
            </w:r>
            <w:r>
              <w:rPr>
                <w:color w:val="000000"/>
              </w:rPr>
              <w:t>ills training</w:t>
            </w:r>
          </w:p>
          <w:p w14:paraId="28629FC2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100 registered MSMEs and Start-ups</w:t>
            </w:r>
          </w:p>
          <w:p w14:paraId="6A979AC8" w14:textId="77777777" w:rsidR="00E402ED" w:rsidRDefault="00A31165">
            <w:pPr>
              <w:jc w:val="both"/>
            </w:pPr>
            <w:r>
              <w:t>Target Group 3 (Environment):</w:t>
            </w:r>
          </w:p>
          <w:p w14:paraId="5519EB88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Officials and Constituents of the 36 Barangays</w:t>
            </w:r>
          </w:p>
          <w:p w14:paraId="5E6DAA6E" w14:textId="77777777" w:rsidR="00E402ED" w:rsidRDefault="00A31165">
            <w:pPr>
              <w:jc w:val="both"/>
            </w:pPr>
            <w:r>
              <w:t>Target Group 4 (Resilience):</w:t>
            </w:r>
          </w:p>
          <w:p w14:paraId="303018A0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Iriga</w:t>
            </w:r>
            <w:proofErr w:type="spellEnd"/>
            <w:r>
              <w:rPr>
                <w:color w:val="000000"/>
              </w:rPr>
              <w:t xml:space="preserve"> City Local Authorities </w:t>
            </w:r>
          </w:p>
          <w:p w14:paraId="402D83B9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Officials and Constituents of the 36 Barangays</w:t>
            </w:r>
          </w:p>
        </w:tc>
      </w:tr>
      <w:tr w:rsidR="00E402ED" w14:paraId="77412CF6" w14:textId="77777777">
        <w:trPr>
          <w:trHeight w:val="1540"/>
        </w:trPr>
        <w:tc>
          <w:tcPr>
            <w:tcW w:w="3119" w:type="dxa"/>
            <w:shd w:val="clear" w:color="auto" w:fill="D9D9D9"/>
            <w:vAlign w:val="center"/>
          </w:tcPr>
          <w:p w14:paraId="37F44CD6" w14:textId="77777777" w:rsidR="00E402ED" w:rsidRDefault="00A31165">
            <w:pPr>
              <w:rPr>
                <w:b/>
              </w:rPr>
            </w:pPr>
            <w:r>
              <w:rPr>
                <w:b/>
              </w:rPr>
              <w:t>Final beneficiaries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6237" w:type="dxa"/>
          </w:tcPr>
          <w:p w14:paraId="3234791F" w14:textId="77777777" w:rsidR="00E402ED" w:rsidRDefault="00A31165">
            <w:pPr>
              <w:jc w:val="both"/>
            </w:pPr>
            <w:r>
              <w:t>36 Barangays with the 111,757 population (56,330 males and 55,427 females)</w:t>
            </w:r>
          </w:p>
          <w:p w14:paraId="221769C3" w14:textId="77777777" w:rsidR="00E402ED" w:rsidRDefault="00A31165">
            <w:pPr>
              <w:jc w:val="both"/>
            </w:pPr>
            <w:r>
              <w:t>70% of population or 78,229</w:t>
            </w:r>
          </w:p>
        </w:tc>
      </w:tr>
      <w:tr w:rsidR="00E402ED" w14:paraId="6E2E88AB" w14:textId="77777777">
        <w:trPr>
          <w:trHeight w:val="1378"/>
        </w:trPr>
        <w:tc>
          <w:tcPr>
            <w:tcW w:w="3119" w:type="dxa"/>
            <w:shd w:val="clear" w:color="auto" w:fill="D9D9D9"/>
            <w:vAlign w:val="center"/>
          </w:tcPr>
          <w:p w14:paraId="1A66D261" w14:textId="77777777" w:rsidR="00E402ED" w:rsidRDefault="00A31165">
            <w:pPr>
              <w:rPr>
                <w:b/>
              </w:rPr>
            </w:pPr>
            <w:r>
              <w:rPr>
                <w:b/>
              </w:rPr>
              <w:t>Estimated outputs</w:t>
            </w:r>
          </w:p>
        </w:tc>
        <w:tc>
          <w:tcPr>
            <w:tcW w:w="6237" w:type="dxa"/>
          </w:tcPr>
          <w:p w14:paraId="75A19433" w14:textId="77777777" w:rsidR="00E402ED" w:rsidRDefault="00A31165">
            <w:pPr>
              <w:jc w:val="both"/>
            </w:pPr>
            <w:r>
              <w:t xml:space="preserve">Social Responsibility: </w:t>
            </w:r>
          </w:p>
          <w:p w14:paraId="52BF54DF" w14:textId="77777777" w:rsidR="00E402ED" w:rsidRDefault="00A311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Inclusion of Social Responsibility Awareness in child development during the formative years in 60 Barangay Child Development Centres</w:t>
            </w:r>
          </w:p>
          <w:p w14:paraId="1127E208" w14:textId="77777777" w:rsidR="00E402ED" w:rsidRDefault="00A311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  <w:r>
              <w:rPr>
                <w:color w:val="000000"/>
              </w:rPr>
              <w:t>Adoption of Social Protection Programs</w:t>
            </w:r>
          </w:p>
          <w:p w14:paraId="4216F96A" w14:textId="77777777" w:rsidR="00E402ED" w:rsidRDefault="00A311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Training on SDG Localization</w:t>
            </w:r>
          </w:p>
          <w:p w14:paraId="066B2D4E" w14:textId="77777777" w:rsidR="00E402ED" w:rsidRDefault="00A311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Active Exchange &amp; learning of social media ethics</w:t>
            </w:r>
          </w:p>
          <w:p w14:paraId="58B5BBFC" w14:textId="77777777" w:rsidR="00E402ED" w:rsidRDefault="00A311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Exch</w:t>
            </w:r>
            <w:r>
              <w:rPr>
                <w:color w:val="000000"/>
              </w:rPr>
              <w:t xml:space="preserve">ange on e-commerce policy and internet governance </w:t>
            </w:r>
          </w:p>
          <w:p w14:paraId="4EF9AAA8" w14:textId="77777777" w:rsidR="00E402ED" w:rsidRDefault="00A311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Improved access to primary health care </w:t>
            </w:r>
          </w:p>
          <w:p w14:paraId="5B14CF63" w14:textId="77777777" w:rsidR="00E402ED" w:rsidRDefault="00A311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Open exchange on mental health care and wellness</w:t>
            </w:r>
          </w:p>
          <w:p w14:paraId="4864F96F" w14:textId="77777777" w:rsidR="00E402ED" w:rsidRDefault="00A311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Exchange on alternative medicine and wellness</w:t>
            </w:r>
          </w:p>
          <w:p w14:paraId="64C1E373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7D3FA198" w14:textId="77777777" w:rsidR="00E402ED" w:rsidRDefault="00A31165">
            <w:pPr>
              <w:jc w:val="both"/>
            </w:pPr>
            <w:r>
              <w:t>Economy:</w:t>
            </w:r>
          </w:p>
          <w:p w14:paraId="0D2736DD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Increase in employment rate</w:t>
            </w:r>
          </w:p>
          <w:p w14:paraId="34706C77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Increase in number of investors</w:t>
            </w:r>
          </w:p>
          <w:p w14:paraId="57FDE333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Increase in number of tourist arrivals and tourist-related establishments</w:t>
            </w:r>
          </w:p>
          <w:p w14:paraId="420210CA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Peer exchange on preservation of Cultural Heritage </w:t>
            </w:r>
          </w:p>
          <w:p w14:paraId="644AF97C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Policy making how to make </w:t>
            </w:r>
            <w:proofErr w:type="spellStart"/>
            <w:r>
              <w:rPr>
                <w:color w:val="000000"/>
              </w:rPr>
              <w:t>Iriga</w:t>
            </w:r>
            <w:proofErr w:type="spellEnd"/>
            <w:r>
              <w:rPr>
                <w:color w:val="000000"/>
              </w:rPr>
              <w:t xml:space="preserve"> City “investment-ready”</w:t>
            </w:r>
          </w:p>
          <w:p w14:paraId="2B51FDAA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Peer exchange on marketing, proposal pitch</w:t>
            </w:r>
            <w:r>
              <w:rPr>
                <w:color w:val="000000"/>
              </w:rPr>
              <w:t xml:space="preserve">ing, and “Branding” </w:t>
            </w:r>
          </w:p>
          <w:p w14:paraId="037D20A7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Peer exchange on Digitalization </w:t>
            </w:r>
          </w:p>
          <w:p w14:paraId="725A5B7D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0F74CCCA" w14:textId="77777777" w:rsidR="00E402ED" w:rsidRDefault="00A31165">
            <w:r>
              <w:t>Environment:</w:t>
            </w:r>
          </w:p>
          <w:p w14:paraId="0EE116F6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Functionality of the Solid Waste Management Committee per barangay</w:t>
            </w:r>
          </w:p>
          <w:p w14:paraId="6C3A89F8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Adoption of Solid Waste Management Ordinance</w:t>
            </w:r>
          </w:p>
          <w:p w14:paraId="1CCBEE8D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Air and Water Quality Monitoring </w:t>
            </w:r>
          </w:p>
          <w:p w14:paraId="568B49A6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38954883" w14:textId="77777777" w:rsidR="00E402ED" w:rsidRDefault="00A31165">
            <w:pPr>
              <w:jc w:val="both"/>
            </w:pPr>
            <w:r>
              <w:t>Resilience:</w:t>
            </w:r>
          </w:p>
          <w:p w14:paraId="520B8FF2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Functionality of the Disaster Risk Reduction and Management Council</w:t>
            </w:r>
          </w:p>
          <w:p w14:paraId="209E2642" w14:textId="77777777" w:rsidR="00E402ED" w:rsidRDefault="00A31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Adoption of the DRRM Plan</w:t>
            </w:r>
          </w:p>
        </w:tc>
      </w:tr>
      <w:tr w:rsidR="00E402ED" w14:paraId="79C33AAE" w14:textId="77777777">
        <w:trPr>
          <w:trHeight w:val="1585"/>
        </w:trPr>
        <w:tc>
          <w:tcPr>
            <w:tcW w:w="3119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0A3DE808" w14:textId="77777777" w:rsidR="00E402ED" w:rsidRDefault="00A31165">
            <w:pPr>
              <w:rPr>
                <w:b/>
              </w:rPr>
            </w:pPr>
            <w:r>
              <w:rPr>
                <w:b/>
              </w:rPr>
              <w:lastRenderedPageBreak/>
              <w:t>Main activities</w:t>
            </w:r>
          </w:p>
        </w:tc>
        <w:tc>
          <w:tcPr>
            <w:tcW w:w="6237" w:type="dxa"/>
            <w:tcBorders>
              <w:bottom w:val="single" w:sz="24" w:space="0" w:color="000000"/>
            </w:tcBorders>
          </w:tcPr>
          <w:p w14:paraId="03FB4191" w14:textId="77777777" w:rsidR="00E402ED" w:rsidRDefault="00A31165">
            <w:pPr>
              <w:jc w:val="both"/>
            </w:pPr>
            <w:r>
              <w:t>Social Responsibility:</w:t>
            </w:r>
          </w:p>
          <w:p w14:paraId="590F162A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Conduct 8 Trainings for Child Development Workers</w:t>
            </w:r>
          </w:p>
          <w:p w14:paraId="32D235D4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Conduct 8 Workshops on Responsible Parenting</w:t>
            </w:r>
          </w:p>
          <w:p w14:paraId="4567E76C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Seminar on Sustainable Development Goals Localization</w:t>
            </w:r>
          </w:p>
          <w:p w14:paraId="3E25F92B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Information Education Campaign on Social Protection Program</w:t>
            </w:r>
          </w:p>
          <w:p w14:paraId="51D4C5C7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Information Education Campaign on Social Media Ethics</w:t>
            </w:r>
          </w:p>
          <w:p w14:paraId="6AB4575B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Awareness Campaign on e-commerce and intern</w:t>
            </w:r>
            <w:r>
              <w:rPr>
                <w:color w:val="000000"/>
              </w:rPr>
              <w:t>et governance</w:t>
            </w:r>
          </w:p>
          <w:p w14:paraId="238825C3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Conduct 8 Trainings on Local Health Governance</w:t>
            </w:r>
          </w:p>
          <w:p w14:paraId="391D6C4D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Conduct 4 Trainings of Health Care Providers</w:t>
            </w:r>
          </w:p>
          <w:p w14:paraId="38D0A43C" w14:textId="77777777" w:rsidR="00E402ED" w:rsidRDefault="00A311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Support and Mentoring for Barangay Health Emergency Response Team </w:t>
            </w:r>
          </w:p>
          <w:p w14:paraId="3739589B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14:paraId="2E08FEBD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14:paraId="2A2156A1" w14:textId="77777777" w:rsidR="00E402ED" w:rsidRDefault="00A31165">
            <w:pPr>
              <w:jc w:val="both"/>
            </w:pPr>
            <w:r>
              <w:t>Economy:</w:t>
            </w:r>
          </w:p>
          <w:p w14:paraId="5C051A48" w14:textId="77777777" w:rsidR="00E402ED" w:rsidRDefault="00A31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Conduct 8 Training Seminars and Workshops for employability skills</w:t>
            </w:r>
          </w:p>
          <w:p w14:paraId="4ACE140C" w14:textId="77777777" w:rsidR="00E402ED" w:rsidRDefault="00A31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Conduct 8 training seminars on livelihood activities for MSMEs</w:t>
            </w:r>
          </w:p>
          <w:p w14:paraId="5EE3ECAB" w14:textId="77777777" w:rsidR="00E402ED" w:rsidRDefault="00A31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Conduct 4 business forums</w:t>
            </w:r>
          </w:p>
          <w:p w14:paraId="68FB53EE" w14:textId="77777777" w:rsidR="00E402ED" w:rsidRDefault="00A31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Create promotional materials and ads to attract investors</w:t>
            </w:r>
          </w:p>
          <w:p w14:paraId="0CCFBC50" w14:textId="77777777" w:rsidR="00E402ED" w:rsidRDefault="00A31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Inventory of cultural heritage</w:t>
            </w:r>
          </w:p>
          <w:p w14:paraId="1877FD4A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14:paraId="4E3CCA83" w14:textId="77777777" w:rsidR="00E402ED" w:rsidRDefault="00A31165">
            <w:pPr>
              <w:jc w:val="both"/>
            </w:pPr>
            <w:r>
              <w:t>Environmen</w:t>
            </w:r>
            <w:r>
              <w:t>t:</w:t>
            </w:r>
          </w:p>
          <w:p w14:paraId="0D31DA23" w14:textId="77777777" w:rsidR="00E402ED" w:rsidRDefault="00A3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Organizing the Solid Waste Management Committee of the 36 Barangays</w:t>
            </w:r>
          </w:p>
          <w:p w14:paraId="4C8A1C53" w14:textId="77777777" w:rsidR="00E402ED" w:rsidRDefault="00A3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Information Education Campaign regarding the Solid Waste Management Plan</w:t>
            </w:r>
          </w:p>
          <w:p w14:paraId="696D6B0D" w14:textId="77777777" w:rsidR="00E402ED" w:rsidRDefault="00A3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Training of the local monitoring team on air and water quality management</w:t>
            </w:r>
          </w:p>
          <w:p w14:paraId="25B0B5D4" w14:textId="77777777" w:rsidR="00E402ED" w:rsidRDefault="00A3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Peer exchange on Solid Waste Disposal especially on residual and hospital wastes</w:t>
            </w:r>
          </w:p>
          <w:p w14:paraId="073C5345" w14:textId="77777777" w:rsidR="00E402ED" w:rsidRDefault="00E4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14:paraId="30533BF5" w14:textId="77777777" w:rsidR="00E402ED" w:rsidRDefault="00A31165">
            <w:pPr>
              <w:jc w:val="both"/>
            </w:pPr>
            <w:r>
              <w:t>Resilience:</w:t>
            </w:r>
          </w:p>
          <w:p w14:paraId="04300132" w14:textId="77777777" w:rsidR="00E402ED" w:rsidRDefault="00A311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Strengthen the 36 Barangay Disaster Risk Reduction Councils</w:t>
            </w:r>
          </w:p>
          <w:p w14:paraId="40AA90D0" w14:textId="77777777" w:rsidR="00E402ED" w:rsidRDefault="00A311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Trainings and workshops on the preparation of the local plans (Comprehensive Land Use Plan, Comprehensive Development Plan, Gender and Development Plan, Local Climate Change Adaptation Plan, Local</w:t>
            </w:r>
            <w:r>
              <w:rPr>
                <w:color w:val="000000"/>
              </w:rPr>
              <w:t xml:space="preserve"> Disaster Risk Reduction and Management Plan, and Contingency Plan, Climate and Disaster Risk Assessment)</w:t>
            </w:r>
          </w:p>
          <w:p w14:paraId="6A82577F" w14:textId="77777777" w:rsidR="00E402ED" w:rsidRDefault="00E402ED">
            <w:pPr>
              <w:jc w:val="both"/>
            </w:pPr>
          </w:p>
          <w:p w14:paraId="25639E78" w14:textId="77777777" w:rsidR="00E402ED" w:rsidRDefault="00A31165">
            <w:pPr>
              <w:jc w:val="both"/>
            </w:pPr>
            <w:r>
              <w:t>Supplementing the main activities listed above, there will be an inception phase where local authorities including barangay officials and community m</w:t>
            </w:r>
            <w:r>
              <w:t>embers will be consulted and invited for a consultative meeting. The Barangays will be clustered into four (4) groups for the implementation and monitoring of the four (4) areas: Social Responsibility, Economy, Environment, and Resilience. A Technical Work</w:t>
            </w:r>
            <w:r>
              <w:t xml:space="preserve">ing Group with the local authorities will be organized for the planning and preparation of all the requirements needed for the completion of the project proposal. </w:t>
            </w:r>
          </w:p>
        </w:tc>
      </w:tr>
    </w:tbl>
    <w:p w14:paraId="51AF244A" w14:textId="77777777" w:rsidR="00E402ED" w:rsidRDefault="00E402ED"/>
    <w:sectPr w:rsidR="00E402E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D341" w14:textId="77777777" w:rsidR="00000000" w:rsidRDefault="00A31165">
      <w:r>
        <w:separator/>
      </w:r>
    </w:p>
  </w:endnote>
  <w:endnote w:type="continuationSeparator" w:id="0">
    <w:p w14:paraId="3A078E4E" w14:textId="77777777" w:rsidR="00000000" w:rsidRDefault="00A3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13A1" w14:textId="77777777" w:rsidR="00000000" w:rsidRDefault="00A31165">
      <w:r>
        <w:separator/>
      </w:r>
    </w:p>
  </w:footnote>
  <w:footnote w:type="continuationSeparator" w:id="0">
    <w:p w14:paraId="3609848B" w14:textId="77777777" w:rsidR="00000000" w:rsidRDefault="00A31165">
      <w:r>
        <w:continuationSeparator/>
      </w:r>
    </w:p>
  </w:footnote>
  <w:footnote w:id="1">
    <w:p w14:paraId="7D744121" w14:textId="77777777" w:rsidR="00E402ED" w:rsidRDefault="00A311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80"/>
        <w:ind w:left="-142" w:firstLine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Target groups</w:t>
      </w:r>
      <w:r>
        <w:rPr>
          <w:color w:val="000000"/>
          <w:sz w:val="20"/>
          <w:szCs w:val="20"/>
        </w:rPr>
        <w:t xml:space="preserve"> are groups/entities who will directly benefit from the action at the action purpose level.</w:t>
      </w:r>
    </w:p>
    <w:bookmarkStart w:id="1" w:name="_gjdgxs" w:colFirst="0" w:colLast="0"/>
    <w:bookmarkEnd w:id="1"/>
  </w:footnote>
  <w:footnote w:id="2">
    <w:p w14:paraId="6FF38945" w14:textId="77777777" w:rsidR="00E402ED" w:rsidRDefault="00A311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80"/>
        <w:ind w:left="-142" w:firstLine="142"/>
        <w:jc w:val="both"/>
        <w:rPr>
          <w:color w:val="000000"/>
          <w:sz w:val="20"/>
          <w:szCs w:val="20"/>
        </w:rPr>
      </w:pPr>
      <w:bookmarkStart w:id="2" w:name="_gjdgxs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Final beneficiaries</w:t>
      </w:r>
      <w:r>
        <w:rPr>
          <w:color w:val="000000"/>
          <w:sz w:val="20"/>
          <w:szCs w:val="20"/>
        </w:rPr>
        <w:t xml:space="preserve"> are those who will benefit from the action in the long term at the level of the society or sector at large.</w:t>
      </w:r>
    </w:p>
    <w:p w14:paraId="6CE606B0" w14:textId="77777777" w:rsidR="00E402ED" w:rsidRDefault="00A311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80"/>
        <w:ind w:left="-142" w:firstLine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*Barangay- smallest administrative</w:t>
      </w:r>
      <w:r>
        <w:rPr>
          <w:color w:val="000000"/>
          <w:sz w:val="20"/>
          <w:szCs w:val="20"/>
        </w:rPr>
        <w:t xml:space="preserve"> division in the Philippines and is the local term for “village”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E0C"/>
    <w:multiLevelType w:val="multilevel"/>
    <w:tmpl w:val="8376B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3D717A"/>
    <w:multiLevelType w:val="multilevel"/>
    <w:tmpl w:val="2B6666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83072"/>
    <w:multiLevelType w:val="multilevel"/>
    <w:tmpl w:val="9D00B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14225A"/>
    <w:multiLevelType w:val="multilevel"/>
    <w:tmpl w:val="FC26C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09038C"/>
    <w:multiLevelType w:val="multilevel"/>
    <w:tmpl w:val="9A1A6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1E2C30"/>
    <w:multiLevelType w:val="multilevel"/>
    <w:tmpl w:val="BB065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6A296D"/>
    <w:multiLevelType w:val="multilevel"/>
    <w:tmpl w:val="C9F2C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3C0FED"/>
    <w:multiLevelType w:val="multilevel"/>
    <w:tmpl w:val="71D8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D"/>
    <w:rsid w:val="00A31165"/>
    <w:rsid w:val="00E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B54"/>
  <w15:docId w15:val="{FE3EE1C2-C48D-4AE4-BE5A-7DBDC4F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680</Words>
  <Characters>3742</Characters>
  <Application>Microsoft Office Word</Application>
  <DocSecurity>4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Devavry</dc:creator>
  <cp:lastModifiedBy>Hervé Devavry</cp:lastModifiedBy>
  <cp:revision>2</cp:revision>
  <dcterms:created xsi:type="dcterms:W3CDTF">2020-03-16T10:34:00Z</dcterms:created>
  <dcterms:modified xsi:type="dcterms:W3CDTF">2020-03-16T10:34:00Z</dcterms:modified>
</cp:coreProperties>
</file>